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2009/81 vom 8. Januar 2010</w:t>
      </w:r>
    </w:p>
    <w:p>
      <w:r>
        <w:t>Sg Versicherungsgericht, 2010-01-08, DE</w:t>
      </w:r>
    </w:p>
    <w:p>
      <w:r>
        <w:rPr>
          <w:b/>
        </w:rPr>
        <w:t xml:space="preserve">Quelle: </w:t>
      </w:r>
      <w:r>
        <w:t>https://mcp.opencaselaw.ch/entscheid/sg_publikationen_IV 2009_81</w:t>
      </w:r>
    </w:p>
    <w:p>
      <w:r>
        <w:t>FR: SG_VERSICHERUNGSGERICHT IV 2009/81 du 8 janvier 2010</w:t>
      </w:r>
    </w:p>
    <w:p>
      <w:r>
        <w:t>IT: SG_VERSICHERUNGSGERICHT IV 2009/81 del 8 gennaio 2010</w:t>
      </w:r>
    </w:p>
    <w:p>
      <w:pPr>
        <w:pStyle w:val="Heading2"/>
      </w:pPr>
      <w:r>
        <w:t>Regeste</w:t>
      </w:r>
    </w:p>
    <w:p>
      <w:r>
        <w:t>Art. 28 IVG, Art. 7 Abs. 1 und Art. 8 Abs. 1 ATSG. Rentenanspruch. Zumutbarkeit von Behandlungsmassnahmen. Arbeitsfähigkeit in einer leidensangepassten Tätigkeit ungenügend medizinisch abgeklärt. Rückweisung zur Vornahme weiterer medizinischer Abklärungen (Entscheid des Versicherungsgerichts des Kantons St. Gallen vom 8. Januar 2010, IV 2009/81).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Februar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2.1</w:t>
      </w:r>
    </w:p>
    <w:p>
      <w:r>
        <w:t>Die Beschwerdegegnerin ist auf die Neuanmeldung vom 13. Mai 2008 (act. G 4.1.57) eingetreten und hat in der angefochtenen Verfügung vom 3. Februar 2009 einen materiellen Entscheid (Abweisung des Leistungsbegehrens) gestützt auf eigene Abklärungen gefällt. Zu prüfen ist demnach, ob die Ablehnung des Anspruchs auf eine Invalidenrente zu Recht erfolgte.</w:t>
      </w:r>
    </w:p>
    <w:p>
      <w:r>
        <w:rPr>
          <w:b/>
        </w:rPr>
        <w:t>E. 2.2</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2.3</w:t>
      </w:r>
    </w:p>
    <w:p>
      <w:r>
        <w:t>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2.5</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3.1</w:t>
      </w:r>
    </w:p>
    <w:p>
      <w:r>
        <w:t>Der Beschwerdeführer stützte sich bei seiner Neuanmeldung vom 13. Mai 2008 (act. G 4.1.57) auf das ärztliche Zeugnis von Dr. B.___ vom 18. April 2008. Darin berichtete die Ärztin über in letzter Zeit zunehmende Rücken- und Beinschmerzen links und eine 50%ige Arbeitsunfähigkeit (act. G 4.1.58). Auch im Bericht vom 18. August 2008 erwähnte sie stark zunehmende Rücken- und Beinschmerzen rechts. Für die Beurteilung der Arbeitsfähigkeit in sitzender Stellung erachtete sie eine Neuevaluation für erforderlich. Der Beschwerdeführer brauche zur Verbesserung der gesundheitlichen Situation unbedingt eine Beinorthese. Falls er damit versorgt würde, sei mit einer Arbeitsfähigkeit von 50 bis 100% für Tätigkeiten in sitzender Stellung zu rechnen (act. G 4.1.74).</w:t>
      </w:r>
    </w:p>
    <w:p>
      <w:r>
        <w:rPr>
          <w:b/>
        </w:rPr>
        <w:t>E. 3.2</w:t>
      </w:r>
    </w:p>
    <w:p>
      <w:r>
        <w:t>Der behandelnde Dr. med. D.___, Leitender Arzt der Klinik für Orthopädische Chirurgie am Kantonsspital St. Gallen, erhob im Bericht vom 11. Juni 2008 neu zusätzlich die (Verdachts-)Diagnose einer Bursitis trochanterica (Schleimbeutelentzündung am Oberschenkel; vgl. Pschyrembel, Klinisches Wörterbuch, 260. Auflage, Berlin 2004, S. 275 und 1849) rechts. Er bezeichnete die vom Beschwerdeführer geschilderten Leiden als klinisch nachvollziehbar und führte sie auf die Beinlängendifferenz zurück (act. G 4.1.74.10 f.). Im Bericht vom 28. Juli 2008 erhob er einen unveränderten Befund. Er ging davon aus, dass die Nichtbehandlung der Beinlängendifferenz mittels orthetischer Versorgung zu einer definitiven Invalidisierung führen werde (act. G 4.1.74.12 f.).</w:t>
      </w:r>
    </w:p>
    <w:p>
      <w:r>
        <w:rPr>
          <w:b/>
        </w:rPr>
        <w:t>E. 3.3</w:t>
      </w:r>
    </w:p>
    <w:p>
      <w:r>
        <w:t>Aus den genannten Stellungnahmen der behandelnden Ärzte ergeben sich Indizien für rentenrelevant veränderte gesundheitliche Verhältnisse. Zumindest lässt sich dies nicht mit überwiegender Wahrscheinlichkeit ausschliessen. Eine schlüssige Einschätzung der in leidensadaptierten Tätigkeiten bestehenden Arbeitsfähigkeit und deren zeitliche Verlauf können den Einschätzungen der behandelnden Ärzte indessen nicht entnommen werden. Dr. B.___ erachtet zu deren Bestimmung vielmehr eine Neuevaluation für erforderlich (act. G 4.1.74.3).</w:t>
      </w:r>
    </w:p>
    <w:p>
      <w:r>
        <w:rPr>
          <w:b/>
        </w:rPr>
        <w:t>E. 3.4</w:t>
      </w:r>
    </w:p>
    <w:p>
      <w:r>
        <w:t>In der RAD-Stellungnahme vom 27. Juni/16. September 2008 - worauf sich die Beschwerdegegnerin in der angefochtenen Verfügung stützt - wird mit Blick auf die genannte medizinische Aktenlage lediglich festgehalten, dass der Beschwerdeführer weiterhin für leidensadaptierte Tätigkeiten über eine 100%ige Arbeitsfähigkeit verfüge (act. G 4.1.80).</w:t>
      </w:r>
    </w:p>
    <w:p>
      <w:r>
        <w:rPr>
          <w:b/>
        </w:rPr>
        <w:t>E. 3.4.1</w:t>
      </w:r>
    </w:p>
    <w:p>
      <w:r>
        <w:t>Bei der genannten Stellungnahme des RAD handelt es sich weder um ein medizinisches Gutachten im Sinn von Art. 44 ATSG noch um einen Untersuchungsbericht gemäss Art. 49 Abs. 2 IVV. Vielmehr ist er als beratende Auskunft im Sinn von Art. 49 Abs. 3 IVV ergangen. Die Funktion der fraglichen Stellungnahme besteht somit darin, den medizinischen Sachverhalt zusammenzufassen und zu würdigen.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 zu stellen, dass bei auch nur geringen Zweifeln an der Zuverlässigkeit und Schlüssigkeit der ärztlichen Feststellungen ergänzende Abklärungen vorzunehmen sind (Urteile des Bundesgerichts vom 16. November 2007, 9C_341/2007, E. 4.1 mit Hinweisen und vom 20. November 2007, I 142/07, E. 3.4).</w:t>
      </w:r>
    </w:p>
    <w:p>
      <w:r>
        <w:rPr>
          <w:b/>
        </w:rPr>
        <w:t>E. 3.4.2</w:t>
      </w:r>
    </w:p>
    <w:p>
      <w:r>
        <w:t>Die RAD-Stellungnahme vom 27. Juni/16. September 2008 und die darin formulierte Arbeitsfähigkeitsbeurteilung vermögen nicht zu überzeugen. Denn der RAD schätzte die Arbeitsfähigkeit ohne eigene klinische Untersuchung. Zur medizinischen Beurteilung von Dr. B.___ wurde lediglich ausgeführt, dass aus der angegebenen "massiven Verschlechterung" des Gesundheitszustandes keine höhere Arbeitsfähigkeit resultiere (act. G 4.1.80.2). Ins Gewicht fällt aber auch, dass die RAD-Stellungnahme entsprechend ihrer Funktion als verwaltungsinterne Entscheidungshilfe derart kurz ausgefallen ist, dass sie den von der Rechtsprechung entwickelten Anforderungen an Gutachten nicht zu genügen vermag (vgl. BGE 125 V 352 E. 3a f.). Die RAD-Stellungnahme vom 27. Juni/16. September 2008 ist daher für die Beurteilung der Frage der beim Beschwerdeführer verbliebenen Arbeitsfähigkeit in einer adaptierten Tätigkeit nicht genügend aussagekräftig.</w:t>
      </w:r>
    </w:p>
    <w:p>
      <w:r>
        <w:rPr>
          <w:b/>
        </w:rPr>
        <w:t>E. 3.4.3</w:t>
      </w:r>
    </w:p>
    <w:p>
      <w:r>
        <w:t>Auch aus der RAD-Stellungnahme vom 5. Mai 2009 vermag die Beschwerdegegnerin nichts zu ihren Gunsten abzuleiten. Vorab ist im Hinblick auf den Devolutiveffekt der Beschwerde an das kantonale Versicherungsgericht in formeller Hinsicht anzumerken, dass die lite pendente vorgenommenen Abklärungen der Beschwerdegegnerin nicht als unbedenklich erscheinen (vgl. BGE 127 V 228). Doch erübrigen sich - mangels Beanstandung - Weiterungen (vgl. Urteil des Eidgenössischen Versicherungsgerichts [EVG; seit 1. Januar 2007: Sozialrechtliche Abteilungen des Bundesgerichts] vom 10. März 2005, U 261/04, E. 1). Es kommt dazu, dass die RAD-Stellungnahme vom 5. Mai 2009 in einem Zeitpunkt eingeholt wurde, wo die Beschwerdegegnerin Partei in einem gerichtlichen Verfahren und nicht mehr lediglich ein - zur Objektivität verpflichtetes (BGE 122 V 161 E. 1c) - gesetzesvollziehendes Organ war. Die Einholung einer Stellungnahme des RAD diente nicht nur der Abklärung des medizinischen Sachverhalts (Art. 43 Abs. 1 ATSG), sondern sollte in erster Linie den eigenen, beschwerdeweise bestrittenen Standpunkt untermauern. Auch insofern kann daher nicht ohne weiteres auf die Stellungnahme vom 5. Mai 2009 abgestellt werden (Urteil des Bundesgerichts vom 6. November 2009, 9C_575/09, E. 3.2.2.2). Ferner vermag die im Beschwerdeverfahren eingeholte äusserst knapp begründete RAD-Stellungnahme inhaltlich nicht zu überzeugen, verneint sie doch eine rentenrelevante Invalidität einzig mit der Begründung, dass die im Vordergrund stehenden gesundheitlichen Leiden behandelbar und damit besserungsfähig seien (act. G 4.2). Diese Argumentation verkennt, dass die Behandelbarkeit eines gesundheitlichen Leidens für sich allein betrachtet nichts über deren invalidisierenden Charakter aussagt. Für die Entstehung des Anspruchs auf eine Invalidenrente ist nur vorausgesetzt, dass während eines Jahres (ohne wesentlichen Unterbruch) eine mindestens 40%ige Arbeitsunfähigkeit nach Art. 28 Abs. 1 lit. b IVG i.V.m. Art. 8 Abs. 1 ATSG bestanden hat (vgl. hierzu vorstehende E. 2.2 und 3.1) und nach Ablauf dieses Jahres mindestens eine 40%ige Invalidität im Sinn von Art. 8 ATSG weiterhin besteht (Art. 28 Abs. 1 lit. c IVG; vgl. BGE 127 V 298 E. 4c).</w:t>
      </w:r>
    </w:p>
    <w:p>
      <w:r>
        <w:rPr>
          <w:b/>
        </w:rPr>
        <w:t>E. 3.4.4</w:t>
      </w:r>
    </w:p>
    <w:p>
      <w:r>
        <w:t>Soweit die Beschwerdegegnerin die dem Beschwerdeführer obliegende Schadenminderungspflicht zur Rechtfertigung der Rentenablehnung heranzieht (act. G 4), so ist ihr schon aus formeller Sicht entgegenzuhalten, dass ein Zustand, wie er bei Ausschöpfung aller zumutbaren schadenmindernden Vorkehren erreicht werden könnte, nur bzw. erst dann anrechenbar ist, wenn das Mahn- und Bedenkzeitverfahren nach Art. 21 Abs. 4 Satz 2 ATSG durchgeführt wurde. Dies ist hier nicht der Fall (zu den einzelnen Tatbestandsvoraussetzungen einer Kürzung oder Verweigerung von Leistungen bei pflichtwidrig unterlassenen schadenmindernden Behandlungs- oder Eingliederungsmassnahmen vgl. SVR 2008 IV Nr. 7 S. 19 [I 824/06]). Es ist unbestritten, dass es dem Beschwerdeführer zumutbar ist, sich der nötigen Behandlung der Beinlängendifferenz zu unterziehen. Fraglich ist bloss, wer für die Kosten der Behandlungsmassnahme aufzukommen hat. Die Beschwerdegegnerin verfügte am 18. Januar 2005, dass der Beschwerdeführer keinen Anspruch gegenüber der Invalidenversicherung auf eine Kostengutsprache für das beantragte Hilfsmittel habe (act. G 4.1.38). Es oblag und obliegt deshalb dem Beschwerdeführer, sich anderweitig um einen Kostenträger zu kümmern. Sofern er keine Hilfeleistung durch unterstützungspflichtige Verwandte, andere Private oder private Sozialhilfeinstitutionen erhält und auch keinen Anspruch gegenüber anderen Sozialversicherungen hat, verbleibt als Kostenträger die öffentliche Sozialhilfe (vgl. Art. 2 Abs. 2 i.V.m. Art. 10 Abs. 1 des kantonalen Sozialhilfegesetzes [sGS 381.1]). An diese hat sich der Beschwerdeführer letztlich in Nachachtung der ihm obliegenden Schadenminderungspflicht mit einem Gesuch um eine Kostengutsprache zu wenden, soweit er dies inzwischen nicht bereits getan hat. Dies ändert aber nichts daran, dass die Beschwerdegegnerin, bevor sie dem Beschwerdeführer bei der Bemessung der Invalidität den theoretischen Zustand nach einer erfolgten Behandlung (orthetische Behandlung) anrechnet, zuerst das Mahn- und Bedenkzeitverfahren durchzuführen hat.</w:t>
      </w:r>
    </w:p>
    <w:p>
      <w:r>
        <w:rPr>
          <w:b/>
        </w:rPr>
        <w:t>E. 4.1</w:t>
      </w:r>
    </w:p>
    <w:p>
      <w:r>
        <w:t>Zusammenfassend ist festzustellen, dass aufgrund der medizinischen Aktenlage nicht abschliessend darüber befunden werden kann, in welchem Ausmass und seit wann der Beschwerdeführer in seiner Arbeitsfähigkeit eingeschränkt ist. Für die Beurteilung des Anspruchs auf Rentenleistungen fehlt es damit an einer tauglichen medizinischen Grundlage. Die angefochtene Verfügung vom 3. Februar 2009 ist daher aufzuheben und die Sache ist an die Beschwerdegegnerin zurückzuweisen, damit sie in medizinischer Hinsicht den Sachverhalt ergänzend abkläre und - soweit noch erforderlich - das Mahn- und Bedenkzeitverfahren durchführe. Hernach hat die Beschwerdegegnerin über den Leistungsanspruch des Beschwerdeführers erneut zu befinden.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w:t>
      </w:r>
    </w:p>
    <w:p>
      <w:r>
        <w:rPr>
          <w:b/>
        </w:rPr>
        <w:t>E. 4.3</w:t>
      </w:r>
    </w:p>
    <w:p>
      <w:r>
        <w:t>Bei diesem Ausgang des Verfahrens hat der Beschwerdeführer Anspruch auf Ersatz der Parteikosten, die vom Gericht ohne Rücksicht auf den Streitwert nach der Bedeutung der Streitsache und nach der Schwierigkeit des Prozesses pauschal zwischen Fr. 1'000.-- bis Fr. 12'000.-- bemessen werden (Art. 61 lit. g ATSG; Art. 22 Abs. 1 lit. b HonO [sGS 963.75]). Die Rechtsvertreterin des Beschwerdeführers hat am 14. August 2009 eine Honorarnote im Umfang von Fr. 4'319.50 eingereicht, wovon Fr. 3'860.-- Honorar bzw. Bemühungen von 15.44 Stunden à Fr. 250.-- geltend gemacht wurden (act. G 11). Bei einer Rechtsvertretung im gesamten Beschwerdeverfahren wird in invalidenversicherungsrechtlichen Fällen praxisgemäss eine pauschale Parteientschädigung von Fr. 3'500.-- (einschliesslich Barauslagen und Mehrwertsteuer) gesprochen. Ein höherer Aufwand erscheint in Anbetracht der beschränkten Fragestellung und mit Rücksicht auf vergleichbare Fälle nicht angemessen. Mit der Zusprache einer Parteientschädigung von pauschal Fr. 3'500.-- erübrigt sich die Frage einer Entschädigung aus unentgeltlicher Rechtsverbeiständung. Demgemäss hat das Versicherungsgericht im Zirkulationsverfahren gemäss Art. 53 GerG entschieden: 1.  In teilweiser Gutheissung der Beschwerde wird die Verfügung vom 3. Februar 2009 aufgehoben und die Sache wird zur ergänzenden medizinischen Abklärung, zur allfälligen Durchführung des Mahn- und Bedenkzeitverfahrens und zu entsprechender neuer Verfügung im Sinn der Erwägungen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